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5E" w:rsidRDefault="00DC0F5E" w:rsidP="00DC0F5E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市秦岭保护局牵头整改秦岭生态环境保护突出问题</w:t>
      </w:r>
    </w:p>
    <w:tbl>
      <w:tblPr>
        <w:tblW w:w="14769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555"/>
        <w:gridCol w:w="981"/>
        <w:gridCol w:w="4127"/>
        <w:gridCol w:w="2977"/>
        <w:gridCol w:w="1134"/>
        <w:gridCol w:w="4440"/>
      </w:tblGrid>
      <w:tr w:rsidR="00DC0F5E" w:rsidTr="009F0C15">
        <w:trPr>
          <w:trHeight w:val="794"/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台账序号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问题来源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反馈问题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整改时限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Style w:val="font21"/>
                <w:rFonts w:ascii="Times New Roman" w:hAnsi="Times New Roman" w:hint="default"/>
                <w:b/>
                <w:bCs/>
              </w:rPr>
              <w:t>整改完成情况</w:t>
            </w:r>
          </w:p>
        </w:tc>
      </w:tr>
      <w:tr w:rsidR="00DC0F5E" w:rsidTr="009F0C15">
        <w:trPr>
          <w:trHeight w:val="79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 w:rsidP="00DC0F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省委巡视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 w:rsidP="00DC0F5E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B12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委环保督察2017年8月反馈的市秦岭办和区县履职不到位、饮用水源地隐患、农村污水处理站运行不规范、秦岭保护和生态恢复任务艰巨4个问题，均存在整改不彻底问题。省委环保督察反馈的秦岭沿线污水处理站运行不正常问题，要求2017年12月整改到位，但巡视组和巡察组随机抽查70个污水处理站中的26个，发现有12个运行不正常。秦岭生态环境保护专项督察2018年5月反馈问题14个，其中黑河水源地马鞍桥项目未关闭、原户县渭河水泥</w:t>
            </w:r>
            <w:proofErr w:type="gramStart"/>
            <w:r w:rsidRPr="00B12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公司涝峪矿区</w:t>
            </w:r>
            <w:proofErr w:type="gramEnd"/>
            <w:r w:rsidRPr="00B12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未生态修复、秦岭北麓沿线农家乐污水未处理（蓝田县、</w:t>
            </w:r>
            <w:r w:rsidRPr="00B1229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鄠</w:t>
            </w:r>
            <w:proofErr w:type="gramStart"/>
            <w:r w:rsidRPr="00B12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邑</w:t>
            </w:r>
            <w:proofErr w:type="gramEnd"/>
            <w:r w:rsidRPr="00B12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区）、农村污水处理站运行不规范、李家河水源地水质不达标6个问题整改不彻底。秦岭生态环境突出问题排查（含“五乱”问题排查）今年3月反馈问题87个，要求6月底完成整改，至巡视检查时，尚有17个未完成</w:t>
            </w:r>
            <w:r w:rsidRPr="00B12296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 w:rsidP="00DC0F5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B12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认真贯彻落实省、市《条例》，坚持依法保护、2.落实省、市“蓝天、碧水、净土、青山”四大保卫战实施方案和《省秦岭生态环境保护行动方案》《西安市秦岭生态环境保护三年行动计划（2019—2021年）》，统筹做好秦岭保护和生态恢复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B12296">
              <w:rPr>
                <w:rFonts w:ascii="仿宋_GB2312" w:eastAsia="仿宋_GB2312"/>
                <w:szCs w:val="21"/>
              </w:rPr>
              <w:t>2021.12.31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B12296" w:rsidRDefault="00DC0F5E" w:rsidP="00DC0F5E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B12296">
              <w:rPr>
                <w:rFonts w:ascii="仿宋_GB2312" w:eastAsia="仿宋_GB2312" w:hint="eastAsia"/>
                <w:color w:val="000000"/>
                <w:sz w:val="21"/>
                <w:szCs w:val="21"/>
              </w:rPr>
              <w:t>1.按照省市要求，制定印发《条例》重点任务分工方案。</w:t>
            </w:r>
          </w:p>
          <w:p w:rsidR="00DC0F5E" w:rsidRDefault="00DC0F5E" w:rsidP="00ED2706">
            <w:pPr>
              <w:widowControl/>
              <w:jc w:val="left"/>
              <w:textAlignment w:val="center"/>
              <w:rPr>
                <w:rStyle w:val="font21"/>
                <w:rFonts w:ascii="Times New Roman" w:hAnsi="Times New Roman" w:hint="default"/>
                <w:b/>
                <w:bCs/>
              </w:rPr>
            </w:pPr>
            <w:r w:rsidRPr="00B12296">
              <w:rPr>
                <w:rFonts w:ascii="仿宋_GB2312" w:eastAsia="仿宋_GB2312" w:hint="eastAsia"/>
                <w:color w:val="000000"/>
                <w:szCs w:val="21"/>
              </w:rPr>
              <w:t>2.</w:t>
            </w:r>
            <w:r w:rsidR="00ED2706">
              <w:rPr>
                <w:rFonts w:ascii="仿宋_GB2312" w:eastAsia="仿宋_GB2312" w:hint="eastAsia"/>
                <w:color w:val="000000"/>
                <w:szCs w:val="21"/>
              </w:rPr>
              <w:t>落实</w:t>
            </w:r>
            <w:r w:rsidRPr="00B12296">
              <w:rPr>
                <w:rFonts w:ascii="仿宋_GB2312" w:eastAsia="仿宋_GB2312" w:hint="eastAsia"/>
                <w:color w:val="000000"/>
                <w:szCs w:val="21"/>
              </w:rPr>
              <w:t>省、市四大保卫战实施方案和《省秦岭生态环境保护行动方案》《西安市秦岭生态环境保护三年行动计划（2019—2021年）》，</w:t>
            </w:r>
            <w:r w:rsidR="00ED2706">
              <w:rPr>
                <w:rFonts w:ascii="仿宋_GB2312" w:eastAsia="仿宋_GB2312" w:hint="eastAsia"/>
                <w:color w:val="000000"/>
                <w:szCs w:val="21"/>
              </w:rPr>
              <w:t>积极实施《西安市推进绿色发展建设生态西安实施方案》；</w:t>
            </w:r>
            <w:r w:rsidRPr="00B12296">
              <w:rPr>
                <w:rFonts w:ascii="仿宋_GB2312" w:eastAsia="仿宋_GB2312" w:hint="eastAsia"/>
                <w:color w:val="000000"/>
                <w:szCs w:val="21"/>
              </w:rPr>
              <w:t>深入推进“五乱”问题整治，完成2019年87个秦岭生态环境保护突出问题。开展农村生活垃圾污水整治</w:t>
            </w:r>
            <w:r w:rsidR="00ED2706">
              <w:rPr>
                <w:rFonts w:ascii="仿宋_GB2312" w:eastAsia="仿宋_GB2312" w:hint="eastAsia"/>
                <w:color w:val="000000"/>
                <w:szCs w:val="21"/>
              </w:rPr>
              <w:t>；</w:t>
            </w:r>
            <w:r w:rsidRPr="00B12296">
              <w:rPr>
                <w:rFonts w:ascii="仿宋_GB2312" w:eastAsia="仿宋_GB2312" w:hint="eastAsia"/>
                <w:color w:val="000000"/>
                <w:szCs w:val="21"/>
              </w:rPr>
              <w:t>完成黑河水源地马鞍桥金矿关闭和原户县渭河水泥</w:t>
            </w:r>
            <w:proofErr w:type="gramStart"/>
            <w:r w:rsidRPr="00B12296">
              <w:rPr>
                <w:rFonts w:ascii="仿宋_GB2312" w:eastAsia="仿宋_GB2312" w:hint="eastAsia"/>
                <w:color w:val="000000"/>
                <w:szCs w:val="21"/>
              </w:rPr>
              <w:t>公司涝峪矿区</w:t>
            </w:r>
            <w:proofErr w:type="gramEnd"/>
            <w:r w:rsidRPr="00B12296">
              <w:rPr>
                <w:rFonts w:ascii="仿宋_GB2312" w:eastAsia="仿宋_GB2312" w:hint="eastAsia"/>
                <w:color w:val="000000"/>
                <w:szCs w:val="21"/>
              </w:rPr>
              <w:t>生态修复。</w:t>
            </w:r>
            <w:r w:rsidRPr="00677C1C">
              <w:rPr>
                <w:rFonts w:ascii="仿宋_GB2312" w:eastAsia="仿宋_GB2312" w:hint="eastAsia"/>
                <w:color w:val="000000"/>
                <w:szCs w:val="21"/>
              </w:rPr>
              <w:t>针对秦岭沿线农家乐污水问题，市政府先后制定了《西安市秦岭生态保护区农家乐管理办法》《西安市秦岭生态保护区农家乐专项整治行动方案》，组织开展农家乐专项整治，完成2809户农家乐整治提升，农家乐服务水平和环保管理得到规范与提升。</w:t>
            </w:r>
          </w:p>
        </w:tc>
      </w:tr>
      <w:tr w:rsidR="00DC0F5E" w:rsidTr="009F0C15">
        <w:trPr>
          <w:trHeight w:val="79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89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 w:rsidP="00DC0F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省委环保督察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AE04D0" w:rsidRDefault="00DC0F5E" w:rsidP="000335A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t>秦岭保护和生态恢复任务艰巨。环保部通过遥感监测在秦岭西安段发现的87处疑似采矿点中，要求恢复治理的54处中有9处矿山未进行地质生态环境恢复治理（其中</w:t>
            </w:r>
            <w:r w:rsidRPr="00AE04D0">
              <w:rPr>
                <w:rFonts w:ascii="宋体" w:hAnsi="宋体" w:cs="宋体" w:hint="eastAsia"/>
                <w:color w:val="000000"/>
                <w:szCs w:val="21"/>
              </w:rPr>
              <w:t>鄠</w:t>
            </w:r>
            <w:proofErr w:type="gramStart"/>
            <w:r w:rsidRPr="00AE04D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邑</w:t>
            </w:r>
            <w:proofErr w:type="gramEnd"/>
            <w:r w:rsidRPr="00AE04D0">
              <w:rPr>
                <w:rFonts w:ascii="仿宋_GB2312" w:eastAsia="仿宋_GB2312" w:hint="eastAsia"/>
                <w:color w:val="000000"/>
                <w:szCs w:val="21"/>
              </w:rPr>
              <w:t>5处，周至4处），9处矿山未编制地质环境保护与治理恢复方案（其中</w:t>
            </w:r>
            <w:r w:rsidRPr="00AE04D0">
              <w:rPr>
                <w:rFonts w:ascii="宋体" w:hAnsi="宋体" w:cs="宋体" w:hint="eastAsia"/>
                <w:color w:val="000000"/>
                <w:szCs w:val="21"/>
              </w:rPr>
              <w:t>鄠</w:t>
            </w:r>
            <w:proofErr w:type="gramStart"/>
            <w:r w:rsidRPr="00AE04D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邑</w:t>
            </w:r>
            <w:proofErr w:type="gramEnd"/>
            <w:r w:rsidRPr="00AE04D0">
              <w:rPr>
                <w:rFonts w:ascii="仿宋_GB2312" w:eastAsia="仿宋_GB2312" w:hint="eastAsia"/>
                <w:color w:val="000000"/>
                <w:szCs w:val="21"/>
              </w:rPr>
              <w:t>4处，蓝田5处），部分点位山体及陡坡未进行植被恢复。督察发</w:t>
            </w: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现，西安市秦岭北麓沿线有1825家农家乐，年接待人数高达1113.65万人次，日产污水约1225吨，日处理污水约1016吨，每天约209吨污水未经处理。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B12296" w:rsidRDefault="00DC0F5E" w:rsidP="00DC0F5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1.认真贯彻落实省、市《条例》，坚持依法保护、2.严格执行《西安市矿产资源规划（2006-2020年）》，扎实落实《秦岭北麓矿山专项整治方案》，对保留矿山严格落实生态治理方案，加快关闭、</w:t>
            </w: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废弃矿山和山体崩塌、滑坡点生态恢复、3.落实省、市“蓝天、碧水、净土、青山”四大保卫战实施方案和《省秦岭生态环境保护方案》《西安市秦岭生态环境保护三年行动计划（2019—2021年）》，统筹做好秦岭保护和生态恢复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B12296" w:rsidRDefault="00DC0F5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2021.12.31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 w:rsidP="000335A8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1. 按照省市要求，制定印发《条例》重点任务分工方案；</w:t>
            </w:r>
          </w:p>
          <w:p w:rsidR="00DC0F5E" w:rsidRPr="00EB7556" w:rsidRDefault="00DC0F5E" w:rsidP="000335A8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2.</w:t>
            </w:r>
            <w:r w:rsidRPr="00CA431A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市资源规划局按照《西安市矿山地质环境保护与治理规划（2018-2025年）》，稳步推进矿山地质环境治理和生态修复。涉及的9处未进行地质生态环境恢复治理的矿山中，已完成治理7处，自然恢复2处；9处未编制地质环境保护与治理</w:t>
            </w:r>
            <w:r w:rsidRPr="00CA431A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lastRenderedPageBreak/>
              <w:t>恢复方案的矿点中，已完成方案编制6处，自然恢复3处。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3.</w:t>
            </w: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EB7556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针对秦岭沿线农家乐污水问题，市政府先后制定了《西安市秦岭生态保护区农家乐管理办法》《西安市秦岭生态保护区农家乐专项整治行动方案》，组织开展农家乐专项整治，完成2809户农家乐整治提升，农家乐服务水平和环保管理得到规范与提升。</w:t>
            </w:r>
          </w:p>
        </w:tc>
      </w:tr>
      <w:tr w:rsidR="00DC0F5E" w:rsidTr="009F0C15">
        <w:trPr>
          <w:trHeight w:val="79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lastRenderedPageBreak/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Default="00DC0F5E" w:rsidP="00DC0F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省联合执法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AE04D0" w:rsidRDefault="00DC0F5E" w:rsidP="000335A8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6E293A">
              <w:rPr>
                <w:rFonts w:ascii="仿宋_GB2312" w:eastAsia="仿宋_GB2312" w:hint="eastAsia"/>
                <w:szCs w:val="21"/>
              </w:rPr>
              <w:t>西安市秦岭北麓沿线有1825家农家乐，年接待人数高达1113.65万人次，日产污水约1225吨，日处理污水约1016吨，每天约209吨污水未经处理。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6E293A" w:rsidRDefault="00DC0F5E" w:rsidP="000335A8">
            <w:pPr>
              <w:rPr>
                <w:rFonts w:ascii="仿宋_GB2312" w:eastAsia="仿宋_GB2312"/>
                <w:szCs w:val="21"/>
              </w:rPr>
            </w:pPr>
            <w:r w:rsidRPr="006E293A">
              <w:rPr>
                <w:rFonts w:ascii="仿宋_GB2312" w:eastAsia="仿宋_GB2312" w:hint="eastAsia"/>
                <w:szCs w:val="21"/>
              </w:rPr>
              <w:t>农家</w:t>
            </w:r>
            <w:proofErr w:type="gramStart"/>
            <w:r w:rsidRPr="006E293A">
              <w:rPr>
                <w:rFonts w:ascii="仿宋_GB2312" w:eastAsia="仿宋_GB2312" w:hint="eastAsia"/>
                <w:szCs w:val="21"/>
              </w:rPr>
              <w:t>乐集中</w:t>
            </w:r>
            <w:proofErr w:type="gramEnd"/>
            <w:r w:rsidRPr="006E293A">
              <w:rPr>
                <w:rFonts w:ascii="仿宋_GB2312" w:eastAsia="仿宋_GB2312" w:hint="eastAsia"/>
                <w:szCs w:val="21"/>
              </w:rPr>
              <w:t>区域污水收集处理问题。目前，区财政局正在办理项目设计单位政府采购手续。同时，为加快农村污水治理速度，同步开展农村污水治理PPP试验项目，投资84万元建成并投用李家岩村级污水处理站；投资80万元完成石</w:t>
            </w:r>
            <w:proofErr w:type="gramStart"/>
            <w:r w:rsidRPr="006E293A">
              <w:rPr>
                <w:rFonts w:ascii="仿宋_GB2312" w:eastAsia="仿宋_GB2312" w:hint="eastAsia"/>
                <w:szCs w:val="21"/>
              </w:rPr>
              <w:t>井镇涝峪口</w:t>
            </w:r>
            <w:proofErr w:type="gramEnd"/>
            <w:r w:rsidRPr="006E293A">
              <w:rPr>
                <w:rFonts w:ascii="仿宋_GB2312" w:eastAsia="仿宋_GB2312" w:hint="eastAsia"/>
                <w:szCs w:val="21"/>
              </w:rPr>
              <w:t>村污水处理站建设，已开始试运行；投资1000万元建设景区管理局八里坪村污水处理管网及站点建设。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C0F5E" w:rsidRPr="00AE04D0" w:rsidRDefault="00DC0F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t>2021.12.31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17D" w:rsidRPr="0030226A" w:rsidRDefault="00E2317D" w:rsidP="00E2317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  <w:r w:rsidRPr="0030226A">
              <w:rPr>
                <w:rFonts w:ascii="仿宋_GB2312" w:eastAsia="仿宋_GB2312" w:hint="eastAsia"/>
                <w:szCs w:val="21"/>
              </w:rPr>
              <w:t>出台《西安市秦岭生态保护区农家乐管理办法》，规范了农家乐管理；制定了《西安市秦岭生态保护区农家乐专项整治行动方案》，实施农家乐专项整治，依法拆除</w:t>
            </w:r>
            <w:proofErr w:type="gramStart"/>
            <w:r w:rsidRPr="0030226A">
              <w:rPr>
                <w:rFonts w:ascii="仿宋_GB2312" w:eastAsia="仿宋_GB2312" w:hint="eastAsia"/>
                <w:szCs w:val="21"/>
              </w:rPr>
              <w:t>违建农家</w:t>
            </w:r>
            <w:proofErr w:type="gramEnd"/>
            <w:r w:rsidRPr="0030226A">
              <w:rPr>
                <w:rFonts w:ascii="仿宋_GB2312" w:eastAsia="仿宋_GB2312" w:hint="eastAsia"/>
                <w:szCs w:val="21"/>
              </w:rPr>
              <w:t>乐，关停取缔不合格农家乐，对符合条件的农家乐实施整治提升；</w:t>
            </w:r>
          </w:p>
          <w:p w:rsidR="00DC0F5E" w:rsidRDefault="00E2317D" w:rsidP="00E2317D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4675CD">
              <w:rPr>
                <w:rFonts w:ascii="仿宋_GB2312" w:eastAsia="仿宋_GB2312" w:hAnsi="Calibri" w:cs="Times New Roman" w:hint="eastAsia"/>
                <w:kern w:val="2"/>
                <w:sz w:val="21"/>
                <w:szCs w:val="21"/>
              </w:rPr>
              <w:t>2. 实施农家</w:t>
            </w:r>
            <w:proofErr w:type="gramStart"/>
            <w:r w:rsidRPr="004675CD">
              <w:rPr>
                <w:rFonts w:ascii="仿宋_GB2312" w:eastAsia="仿宋_GB2312" w:hAnsi="Calibri" w:cs="Times New Roman" w:hint="eastAsia"/>
                <w:kern w:val="2"/>
                <w:sz w:val="21"/>
                <w:szCs w:val="21"/>
              </w:rPr>
              <w:t>乐集中</w:t>
            </w:r>
            <w:proofErr w:type="gramEnd"/>
            <w:r w:rsidRPr="004675CD">
              <w:rPr>
                <w:rFonts w:ascii="仿宋_GB2312" w:eastAsia="仿宋_GB2312" w:hAnsi="Calibri" w:cs="Times New Roman" w:hint="eastAsia"/>
                <w:kern w:val="2"/>
                <w:sz w:val="21"/>
                <w:szCs w:val="21"/>
              </w:rPr>
              <w:t>区农村生活污水治理，建成并运行李家岩、涝峪口村、八里坪</w:t>
            </w:r>
            <w:proofErr w:type="gramStart"/>
            <w:r w:rsidRPr="004675CD">
              <w:rPr>
                <w:rFonts w:ascii="仿宋_GB2312" w:eastAsia="仿宋_GB2312" w:hAnsi="Calibri" w:cs="Times New Roman" w:hint="eastAsia"/>
                <w:kern w:val="2"/>
                <w:sz w:val="21"/>
                <w:szCs w:val="21"/>
              </w:rPr>
              <w:t>村村级</w:t>
            </w:r>
            <w:proofErr w:type="gramEnd"/>
            <w:r w:rsidRPr="004675CD">
              <w:rPr>
                <w:rFonts w:ascii="仿宋_GB2312" w:eastAsia="仿宋_GB2312" w:hAnsi="Calibri" w:cs="Times New Roman" w:hint="eastAsia"/>
                <w:kern w:val="2"/>
                <w:sz w:val="21"/>
                <w:szCs w:val="21"/>
              </w:rPr>
              <w:t>污水处理站。</w:t>
            </w:r>
          </w:p>
        </w:tc>
      </w:tr>
      <w:tr w:rsidR="00E2317D" w:rsidTr="009F0C15">
        <w:trPr>
          <w:trHeight w:val="324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17D" w:rsidRDefault="00E2317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lastRenderedPageBreak/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17D" w:rsidRDefault="00E2317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17D" w:rsidRDefault="00E2317D" w:rsidP="00DC0F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省联合执法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17D" w:rsidRPr="006E293A" w:rsidRDefault="00E2317D" w:rsidP="000335A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6E293A">
              <w:rPr>
                <w:rFonts w:ascii="仿宋_GB2312" w:eastAsia="仿宋_GB2312" w:hint="eastAsia"/>
                <w:szCs w:val="21"/>
              </w:rPr>
              <w:t>西安市秦岭北麓沿线有1825家农家乐，年接待人数高达1113.65万人次，日产污水约1225吨，日处理污水约1016吨，每天约209吨污水未经处理。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17D" w:rsidRPr="006E293A" w:rsidRDefault="00E2317D" w:rsidP="000335A8">
            <w:pPr>
              <w:rPr>
                <w:rFonts w:ascii="仿宋_GB2312" w:eastAsia="仿宋_GB2312"/>
                <w:szCs w:val="21"/>
              </w:rPr>
            </w:pPr>
            <w:r w:rsidRPr="00621A98">
              <w:rPr>
                <w:rFonts w:ascii="仿宋_GB2312" w:eastAsia="仿宋_GB2312" w:hint="eastAsia"/>
                <w:szCs w:val="21"/>
              </w:rPr>
              <w:t>目前对所有污水、垃圾、卫生等处理不到位全部暂停营业整改。县环保、水务、秦岭办、市场监管局、城市管理局等部门加强巡查，确保存在问题农家乐关停。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17D" w:rsidRPr="00AE04D0" w:rsidRDefault="00E2317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 w:rsidRPr="00AE04D0">
              <w:rPr>
                <w:rFonts w:ascii="仿宋_GB2312" w:eastAsia="仿宋_GB2312" w:hint="eastAsia"/>
                <w:color w:val="000000"/>
                <w:szCs w:val="21"/>
              </w:rPr>
              <w:t>2021.12.31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344A" w:rsidRDefault="0099344A" w:rsidP="00A803D7">
            <w:pPr>
              <w:rPr>
                <w:rFonts w:ascii="仿宋_GB2312" w:eastAsia="仿宋_GB2312"/>
                <w:szCs w:val="21"/>
              </w:rPr>
            </w:pPr>
            <w:r w:rsidRPr="0030226A">
              <w:rPr>
                <w:rFonts w:ascii="仿宋_GB2312" w:eastAsia="仿宋_GB2312" w:hint="eastAsia"/>
                <w:szCs w:val="21"/>
              </w:rPr>
              <w:t>出台《西安市秦岭生态保护区农家乐管理办法》，规范了农家乐管理；制定了《西安市秦岭生态保护区农家乐专项整治行动方案》，实施农家乐专项整治，依法拆除</w:t>
            </w:r>
            <w:proofErr w:type="gramStart"/>
            <w:r w:rsidRPr="0030226A">
              <w:rPr>
                <w:rFonts w:ascii="仿宋_GB2312" w:eastAsia="仿宋_GB2312" w:hint="eastAsia"/>
                <w:szCs w:val="21"/>
              </w:rPr>
              <w:t>违建农家</w:t>
            </w:r>
            <w:proofErr w:type="gramEnd"/>
            <w:r w:rsidRPr="0030226A">
              <w:rPr>
                <w:rFonts w:ascii="仿宋_GB2312" w:eastAsia="仿宋_GB2312" w:hint="eastAsia"/>
                <w:szCs w:val="21"/>
              </w:rPr>
              <w:t>乐，关停取缔不合格农家乐</w:t>
            </w:r>
            <w:r w:rsidR="00463A15">
              <w:rPr>
                <w:rFonts w:ascii="仿宋_GB2312" w:eastAsia="仿宋_GB2312" w:hint="eastAsia"/>
                <w:szCs w:val="21"/>
              </w:rPr>
              <w:t>。蓝田县开展秦岭区域农家乐专项整治，取缔不合格农家乐</w:t>
            </w:r>
            <w:r w:rsidR="004966A5">
              <w:rPr>
                <w:rFonts w:ascii="仿宋_GB2312" w:eastAsia="仿宋_GB2312" w:hint="eastAsia"/>
                <w:szCs w:val="21"/>
              </w:rPr>
              <w:t>239户</w:t>
            </w:r>
            <w:r w:rsidRPr="0030226A">
              <w:rPr>
                <w:rFonts w:ascii="仿宋_GB2312" w:eastAsia="仿宋_GB2312" w:hint="eastAsia"/>
                <w:szCs w:val="21"/>
              </w:rPr>
              <w:t>，对符合条件的</w:t>
            </w:r>
            <w:r w:rsidR="004966A5">
              <w:rPr>
                <w:rFonts w:ascii="仿宋_GB2312" w:eastAsia="仿宋_GB2312" w:hint="eastAsia"/>
                <w:szCs w:val="21"/>
              </w:rPr>
              <w:t>554户</w:t>
            </w:r>
            <w:r w:rsidRPr="0030226A">
              <w:rPr>
                <w:rFonts w:ascii="仿宋_GB2312" w:eastAsia="仿宋_GB2312" w:hint="eastAsia"/>
                <w:szCs w:val="21"/>
              </w:rPr>
              <w:t>农家乐实施整治提升</w:t>
            </w:r>
            <w:r w:rsidR="00A803D7">
              <w:rPr>
                <w:rFonts w:ascii="仿宋_GB2312" w:eastAsia="仿宋_GB2312" w:hint="eastAsia"/>
                <w:szCs w:val="21"/>
              </w:rPr>
              <w:t>，2019年9月份抽点10个县级部门的干部开展了联合</w:t>
            </w:r>
            <w:r w:rsidR="004966A5">
              <w:rPr>
                <w:rFonts w:ascii="仿宋_GB2312" w:eastAsia="仿宋_GB2312" w:hint="eastAsia"/>
                <w:szCs w:val="21"/>
              </w:rPr>
              <w:t>验收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="00A803D7">
              <w:rPr>
                <w:rFonts w:ascii="仿宋_GB2312" w:eastAsia="仿宋_GB2312" w:hint="eastAsia"/>
                <w:szCs w:val="21"/>
              </w:rPr>
              <w:t>2020年对农家</w:t>
            </w:r>
            <w:proofErr w:type="gramStart"/>
            <w:r w:rsidR="00A803D7">
              <w:rPr>
                <w:rFonts w:ascii="仿宋_GB2312" w:eastAsia="仿宋_GB2312" w:hint="eastAsia"/>
                <w:szCs w:val="21"/>
              </w:rPr>
              <w:t>乐集中</w:t>
            </w:r>
            <w:proofErr w:type="gramEnd"/>
            <w:r w:rsidR="00A803D7">
              <w:rPr>
                <w:rFonts w:ascii="仿宋_GB2312" w:eastAsia="仿宋_GB2312" w:hint="eastAsia"/>
                <w:szCs w:val="21"/>
              </w:rPr>
              <w:t>区污水处理设施进行了检查验收。</w:t>
            </w:r>
          </w:p>
        </w:tc>
      </w:tr>
    </w:tbl>
    <w:p w:rsidR="00890719" w:rsidRDefault="00890719"/>
    <w:sectPr w:rsidR="00890719" w:rsidSect="00DC0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5E" w:rsidRDefault="00DC0F5E" w:rsidP="00DC0F5E">
      <w:r>
        <w:separator/>
      </w:r>
    </w:p>
  </w:endnote>
  <w:endnote w:type="continuationSeparator" w:id="0">
    <w:p w:rsidR="00DC0F5E" w:rsidRDefault="00DC0F5E" w:rsidP="00DC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5E" w:rsidRDefault="00DC0F5E" w:rsidP="00DC0F5E">
      <w:r>
        <w:separator/>
      </w:r>
    </w:p>
  </w:footnote>
  <w:footnote w:type="continuationSeparator" w:id="0">
    <w:p w:rsidR="00DC0F5E" w:rsidRDefault="00DC0F5E" w:rsidP="00DC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F5E"/>
    <w:rsid w:val="00463A15"/>
    <w:rsid w:val="004675CD"/>
    <w:rsid w:val="004966A5"/>
    <w:rsid w:val="006B7451"/>
    <w:rsid w:val="00801E5D"/>
    <w:rsid w:val="00890719"/>
    <w:rsid w:val="00940B1C"/>
    <w:rsid w:val="0099344A"/>
    <w:rsid w:val="009F0C15"/>
    <w:rsid w:val="00A803D7"/>
    <w:rsid w:val="00DC0F5E"/>
    <w:rsid w:val="00E2317D"/>
    <w:rsid w:val="00E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F5E"/>
    <w:rPr>
      <w:sz w:val="18"/>
      <w:szCs w:val="18"/>
    </w:rPr>
  </w:style>
  <w:style w:type="character" w:customStyle="1" w:styleId="font21">
    <w:name w:val="font21"/>
    <w:qFormat/>
    <w:rsid w:val="00DC0F5E"/>
    <w:rPr>
      <w:rFonts w:ascii="仿宋_GB2312" w:eastAsia="仿宋_GB2312" w:cs="仿宋_GB2312" w:hint="eastAsia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uiPriority w:val="99"/>
    <w:unhideWhenUsed/>
    <w:rsid w:val="00DC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11</cp:revision>
  <cp:lastPrinted>2021-08-16T01:03:00Z</cp:lastPrinted>
  <dcterms:created xsi:type="dcterms:W3CDTF">2021-08-12T15:25:00Z</dcterms:created>
  <dcterms:modified xsi:type="dcterms:W3CDTF">2021-08-16T01:08:00Z</dcterms:modified>
</cp:coreProperties>
</file>